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微软雅黑" w:hAnsi="微软雅黑" w:eastAsia="微软雅黑" w:cs="宋体"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</w:rPr>
        <w:t>高层次专家研讨会活动实施办法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微软雅黑" w:hAnsi="微软雅黑" w:eastAsia="微软雅黑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第一条 为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提升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高层次专家研讨会活动（以下简称“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研讨活动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”）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实施效果，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规范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组织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黑体" w:eastAsia="仿宋_GB2312" w:cs="宋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 xml:space="preserve">第二条 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研讨活动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坚持以习近平新时代中国特色社会主义思想为指导，聚焦“四个面向”，</w:t>
      </w:r>
      <w:r>
        <w:rPr>
          <w:rFonts w:hint="eastAsia" w:ascii="仿宋_GB2312" w:hAnsi="黑体" w:eastAsia="仿宋_GB2312" w:cs="宋体"/>
          <w:b w:val="0"/>
          <w:bCs w:val="0"/>
          <w:color w:val="000000"/>
          <w:sz w:val="32"/>
          <w:szCs w:val="32"/>
        </w:rPr>
        <w:t>邀请高层次科学家、一线科技工作者、产业专家等，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2"/>
          <w:szCs w:val="32"/>
        </w:rPr>
        <w:t>围绕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重大科学技术创新发展问题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2"/>
          <w:szCs w:val="32"/>
        </w:rPr>
        <w:t>进行战略性研讨，开展前瞻性研判，提出对策建议，</w:t>
      </w:r>
      <w:r>
        <w:rPr>
          <w:rFonts w:hint="eastAsia" w:ascii="仿宋_GB2312" w:hAnsi="黑体" w:eastAsia="仿宋_GB2312" w:cs="宋体"/>
          <w:b w:val="0"/>
          <w:bCs w:val="0"/>
          <w:color w:val="000000"/>
          <w:sz w:val="32"/>
          <w:szCs w:val="32"/>
        </w:rPr>
        <w:t>服务党和政府科学决策，推进科技自立自强。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第二章  组织形式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 xml:space="preserve">第三条 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研讨活动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由中国科协主办，</w:t>
      </w:r>
      <w:r>
        <w:rPr>
          <w:rFonts w:hint="eastAsia" w:ascii="仿宋_GB2312" w:hAnsi="仿宋" w:eastAsia="仿宋_GB2312" w:cs="仿宋_GB2312"/>
          <w:b w:val="0"/>
          <w:bCs w:val="0"/>
          <w:kern w:val="0"/>
          <w:sz w:val="32"/>
          <w:szCs w:val="32"/>
        </w:rPr>
        <w:t>通过项目申报方式择优遴选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2"/>
          <w:szCs w:val="32"/>
        </w:rPr>
        <w:t>全国学会、高等院校、科研机构、企业单位等具体承办，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主办单位给予经费支持，</w:t>
      </w:r>
      <w:r>
        <w:rPr>
          <w:rFonts w:hint="eastAsia" w:ascii="仿宋_GB2312" w:hAnsi="微软雅黑" w:eastAsia="仿宋_GB2312" w:cs="宋体"/>
          <w:b w:val="0"/>
          <w:bCs w:val="0"/>
          <w:kern w:val="0"/>
          <w:sz w:val="32"/>
          <w:szCs w:val="32"/>
        </w:rPr>
        <w:t>承办机构应具备专家资源、会议举办和科技咨询服务能力，不得转包项目。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 xml:space="preserve">第四条 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研讨活动应设置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研讨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主题。主题可由主办单位结合国家重大战略部署确定，也可由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承办机构按照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研讨活动</w:t>
      </w:r>
      <w:r>
        <w:rPr>
          <w:rFonts w:hint="eastAsia" w:ascii="仿宋_GB2312" w:hAnsi="微软雅黑" w:eastAsia="仿宋_GB2312" w:cs="宋体"/>
          <w:b w:val="0"/>
          <w:bCs w:val="0"/>
          <w:color w:val="000000"/>
          <w:kern w:val="0"/>
          <w:sz w:val="32"/>
          <w:szCs w:val="32"/>
        </w:rPr>
        <w:t>申报通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知要求，结合自身工作基础与专业优势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确定。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主题设置坚持目标导向、问题导向、需求导向、成果导向，根据主题可设置若干重点议题，议题应具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有可探讨性、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时效性和实用性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，能够形成高质量政策建议。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第五条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研讨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会期一般不超过1天，以闭门方式进行，可采用线上线下相结合的形式，线上研讨要采取有效措施保证效果。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六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条 研讨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一般控制在20人以内，参会专家应在相关领域具有权威性和代表性，重点邀请战略科学家和科技领军人才，鼓励邀请国际同行。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第七条 研讨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围绕主题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议题设置主旨报告、自由发言等环节，不设主席台，鼓励营造轻松自由、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疑争鸣的学术交流氛围。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第三章  组织保障和分工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八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eastAsia="仿宋_GB2312"/>
          <w:color w:val="000000"/>
          <w:sz w:val="32"/>
          <w:szCs w:val="32"/>
        </w:rPr>
        <w:t>承办机构应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开展前期调研，</w:t>
      </w:r>
      <w:r>
        <w:rPr>
          <w:rFonts w:hint="eastAsia" w:ascii="仿宋_GB2312" w:eastAsia="仿宋_GB2312"/>
          <w:color w:val="000000"/>
          <w:sz w:val="32"/>
          <w:szCs w:val="32"/>
        </w:rPr>
        <w:t>制定详细的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会议活动实施方案，</w:t>
      </w:r>
      <w:r>
        <w:rPr>
          <w:rFonts w:hint="eastAsia" w:ascii="仿宋_GB2312" w:eastAsia="仿宋_GB2312"/>
          <w:sz w:val="32"/>
          <w:szCs w:val="32"/>
        </w:rPr>
        <w:t>实施前15天提交中国科协科学技术创新部审核，经批准后组织实施。承办机构应按照主办单位要求做好筹备和组织工作，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起草相关会议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000000"/>
          <w:spacing w:val="2"/>
          <w:sz w:val="32"/>
          <w:szCs w:val="32"/>
        </w:rPr>
        <w:t>承办机构</w:t>
      </w:r>
      <w:r>
        <w:rPr>
          <w:rFonts w:hint="eastAsia" w:ascii="仿宋_GB2312" w:hAnsi="����" w:eastAsia="仿宋_GB2312" w:cs="宋体"/>
          <w:color w:val="000000"/>
          <w:spacing w:val="2"/>
          <w:sz w:val="32"/>
          <w:szCs w:val="14"/>
        </w:rPr>
        <w:t>应</w:t>
      </w:r>
      <w:r>
        <w:rPr>
          <w:rFonts w:hint="eastAsia" w:ascii="仿宋_GB2312" w:hAnsi="����" w:eastAsia="仿宋_GB2312" w:cs="宋体"/>
          <w:color w:val="000000"/>
          <w:sz w:val="32"/>
          <w:szCs w:val="14"/>
        </w:rPr>
        <w:t>严格按照合同和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《中央和国家机关会议费管理办法》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《中央和国家机关外宾接待经费管理办法》等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规定的相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关标准进行经费支出，不得超</w:t>
      </w:r>
      <w:r>
        <w:rPr>
          <w:rFonts w:hint="eastAsia" w:ascii="仿宋_GB2312" w:hAnsi="仿宋_GB2312" w:eastAsia="仿宋_GB2312" w:cs="仿宋_GB2312"/>
          <w:sz w:val="32"/>
        </w:rPr>
        <w:t>范围、超标准支出。在保证会议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</w:rPr>
        <w:t>效果的前提下节俭高效办会。会议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</w:rPr>
        <w:t>不得收取任何费用。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第十条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承办机构应制定突发事件应急预案，对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与会专家邀请进行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严格把关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，加强审核和舆情管控，防范发表不当言论、发生学术不端行为等风险。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第十一条 承办机构可视情对活动进行宣传推广，包括对活动内容和成果的宣传，提升活动效果和影响力。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第四章  成果凝练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十二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条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研讨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成果主要包括学术成果、智库成果以及其他成果。学术成果主要包括会议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方案、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研讨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纪要、学术报告、专家观点汇编等。智库成果主要包括政策建议报告等。其他成果主要包括报告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发言演示资料、相关专家名单、会议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现场图文等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第十三条 承办机构应在研讨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结束15天内向中国科协科学技术创新部提交高质量成果。其中政策建议报告撰写应符合相关的体例要求和写作规范，建议内容应体现前瞻性、紧迫性、针对性、建设性。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第五章  附  则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418"/>
          <w:tab w:val="left" w:pos="184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第十四条 </w:t>
      </w:r>
      <w:r>
        <w:rPr>
          <w:rFonts w:hint="eastAsia" w:ascii="仿宋_GB2312" w:eastAsia="仿宋_GB2312"/>
          <w:sz w:val="32"/>
          <w:szCs w:val="32"/>
        </w:rPr>
        <w:t>本办法由中国科协科学技术创新部负责解释。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 xml:space="preserve"> 本办法自印发之日起施行。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小标宋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����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94F9"/>
    <w:rsid w:val="B7FF9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2023-04-28T13:55:00Z</dcterms:created>
  <dc:creator>macos</dc:creator>
  <cp:lastModifiedBy>macos</cp:lastModifiedBy>
  <dcterms:modified xsi:type="dcterms:W3CDTF">2023-04-28T13:55:54Z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