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rPr>
          <w:rFonts w:ascii="黑体" w:hAnsi="黑体" w:eastAsia="黑体"/>
          <w:sz w:val="32"/>
          <w:szCs w:val="32"/>
        </w:rPr>
      </w:pPr>
      <w:r>
        <w:rPr>
          <w:rFonts w:ascii="黑体" w:hAnsi="黑体" w:eastAsia="黑体"/>
          <w:sz w:val="32"/>
          <w:szCs w:val="32"/>
        </w:rPr>
        <w:t>附件1</w:t>
      </w:r>
    </w:p>
    <w:p>
      <w:pPr>
        <w:snapToGrid w:val="0"/>
        <w:spacing w:before="120" w:beforeLines="50" w:after="360" w:afterLines="150" w:line="700" w:lineRule="exact"/>
        <w:jc w:val="center"/>
        <w:rPr>
          <w:rFonts w:ascii="Times New Roman" w:hAnsi="Times New Roman" w:eastAsia="小标宋"/>
          <w:sz w:val="44"/>
          <w:szCs w:val="44"/>
        </w:rPr>
      </w:pPr>
      <w:bookmarkStart w:id="0" w:name="_GoBack"/>
      <w:r>
        <w:rPr>
          <w:rFonts w:ascii="Times New Roman" w:hAnsi="Times New Roman" w:eastAsia="小标宋"/>
          <w:sz w:val="44"/>
          <w:szCs w:val="44"/>
        </w:rPr>
        <w:t>科技期刊论文关联数据汇交实施方案</w:t>
      </w:r>
      <w:bookmarkEnd w:id="0"/>
    </w:p>
    <w:p>
      <w:pPr>
        <w:widowControl w:val="0"/>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为建立健全我国科学数据汇交、保存和开放共享工作机制，提升科学数据规范管理和综合利用水平，促进科学研究更加透明、可靠和高效，更加有力支撑国家科技创新和经济社会发展，</w:t>
      </w:r>
      <w:r>
        <w:rPr>
          <w:rFonts w:hint="eastAsia" w:ascii="Times New Roman" w:hAnsi="Times New Roman" w:eastAsia="仿宋_GB2312"/>
          <w:color w:val="000000"/>
          <w:sz w:val="32"/>
          <w:szCs w:val="32"/>
        </w:rPr>
        <w:t>依据《中华人民共和国数据安全法》和《科学数据管理办法》</w:t>
      </w:r>
      <w:r>
        <w:rPr>
          <w:rFonts w:hint="eastAsia" w:ascii="Times New Roman" w:hAnsi="Times New Roman" w:eastAsia="仿宋_GB2312"/>
          <w:sz w:val="32"/>
          <w:szCs w:val="32"/>
        </w:rPr>
        <w:t>，</w:t>
      </w:r>
      <w:r>
        <w:rPr>
          <w:rFonts w:ascii="Times New Roman" w:hAnsi="Times New Roman" w:eastAsia="仿宋_GB2312"/>
          <w:sz w:val="32"/>
          <w:szCs w:val="32"/>
        </w:rPr>
        <w:t>中国科协</w:t>
      </w:r>
      <w:r>
        <w:rPr>
          <w:rFonts w:hint="eastAsia" w:ascii="Times New Roman" w:hAnsi="Times New Roman" w:eastAsia="仿宋_GB2312"/>
          <w:sz w:val="32"/>
          <w:szCs w:val="32"/>
        </w:rPr>
        <w:t>和</w:t>
      </w:r>
      <w:r>
        <w:rPr>
          <w:rFonts w:ascii="Times New Roman" w:hAnsi="Times New Roman" w:eastAsia="仿宋_GB2312"/>
          <w:sz w:val="32"/>
          <w:szCs w:val="32"/>
        </w:rPr>
        <w:t>中国科学院联合开展期刊论文关联数据汇交工作，特制定实施方案如下。</w:t>
      </w:r>
    </w:p>
    <w:p>
      <w:pPr>
        <w:widowControl w:val="0"/>
        <w:snapToGrid w:val="0"/>
        <w:spacing w:line="580" w:lineRule="exact"/>
        <w:ind w:left="640"/>
        <w:rPr>
          <w:rFonts w:ascii="Times New Roman" w:hAnsi="Times New Roman" w:eastAsia="黑体"/>
          <w:sz w:val="32"/>
          <w:szCs w:val="32"/>
        </w:rPr>
      </w:pPr>
      <w:r>
        <w:rPr>
          <w:rFonts w:ascii="Times New Roman" w:hAnsi="Times New Roman" w:eastAsia="黑体"/>
          <w:sz w:val="32"/>
          <w:szCs w:val="32"/>
        </w:rPr>
        <w:t>一、指导思想</w:t>
      </w:r>
    </w:p>
    <w:p>
      <w:pPr>
        <w:widowControl w:val="0"/>
        <w:snapToGrid w:val="0"/>
        <w:spacing w:line="580" w:lineRule="exact"/>
        <w:ind w:firstLine="640" w:firstLineChars="200"/>
        <w:rPr>
          <w:rFonts w:ascii="Times New Roman" w:hAnsi="Times New Roman" w:eastAsia="黑体"/>
          <w:sz w:val="32"/>
          <w:szCs w:val="32"/>
        </w:rPr>
      </w:pPr>
      <w:r>
        <w:rPr>
          <w:rFonts w:ascii="Times New Roman" w:hAnsi="Times New Roman" w:eastAsia="仿宋_GB2312"/>
          <w:sz w:val="32"/>
          <w:szCs w:val="32"/>
        </w:rPr>
        <w:t>以习近平新时代中国特色社会主义思想为指导，牢牢把握建设世界科技强国战略目标，深刻把握大数据时代科学数据发展趋势和学术出版最新动向，围绕国家科学数据库建设整体规划，以世界一流科技期刊建设为重要依托，建立健全论文关联数据汇交共享机制，拓展科学数据多元汇交渠道，提升我国科学数据仓储规模和质量，加强科学数据安全管理和挖掘利用，为实现高水平科技自立自强提供坚实支撑。</w:t>
      </w:r>
    </w:p>
    <w:p>
      <w:pPr>
        <w:widowControl w:val="0"/>
        <w:snapToGrid w:val="0"/>
        <w:spacing w:line="580" w:lineRule="exact"/>
        <w:ind w:firstLine="640"/>
        <w:rPr>
          <w:rFonts w:ascii="Times New Roman" w:hAnsi="Times New Roman" w:eastAsia="黑体"/>
          <w:sz w:val="32"/>
          <w:szCs w:val="32"/>
        </w:rPr>
      </w:pPr>
      <w:r>
        <w:rPr>
          <w:rFonts w:ascii="Times New Roman" w:hAnsi="Times New Roman" w:eastAsia="黑体"/>
          <w:sz w:val="32"/>
          <w:szCs w:val="32"/>
        </w:rPr>
        <w:t>二、任务目标</w:t>
      </w:r>
    </w:p>
    <w:p>
      <w:pPr>
        <w:widowControl w:val="0"/>
        <w:snapToGrid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建立科技期刊论文关联数据汇交政策规范，建设论文关联数据仓储和应用服务平台，</w:t>
      </w:r>
      <w:r>
        <w:rPr>
          <w:rFonts w:ascii="Times New Roman" w:hAnsi="Times New Roman" w:eastAsia="仿宋_GB2312"/>
          <w:color w:val="000000"/>
          <w:spacing w:val="2"/>
          <w:sz w:val="32"/>
          <w:szCs w:val="32"/>
        </w:rPr>
        <w:t>构建国内高水平科技期刊与自主数据平台的合作机制，提升我国科学数据安全管理和汇聚利用水平，</w:t>
      </w:r>
      <w:r>
        <w:rPr>
          <w:rFonts w:ascii="Times New Roman" w:hAnsi="Times New Roman" w:eastAsia="仿宋_GB2312"/>
          <w:color w:val="000000"/>
          <w:sz w:val="32"/>
          <w:szCs w:val="32"/>
        </w:rPr>
        <w:t>完善科学数据开放共享体系，促进数据资源高效利用</w:t>
      </w:r>
      <w:r>
        <w:rPr>
          <w:rFonts w:ascii="Times New Roman" w:hAnsi="Times New Roman" w:eastAsia="仿宋_GB2312"/>
          <w:sz w:val="32"/>
          <w:szCs w:val="32"/>
        </w:rPr>
        <w:t>。</w:t>
      </w:r>
    </w:p>
    <w:p>
      <w:pPr>
        <w:widowControl w:val="0"/>
        <w:snapToGrid w:val="0"/>
        <w:spacing w:line="580" w:lineRule="exact"/>
        <w:ind w:firstLine="640"/>
        <w:rPr>
          <w:rFonts w:ascii="Times New Roman" w:hAnsi="Times New Roman" w:eastAsia="黑体"/>
          <w:sz w:val="32"/>
          <w:szCs w:val="32"/>
        </w:rPr>
      </w:pPr>
      <w:r>
        <w:rPr>
          <w:rFonts w:ascii="Times New Roman" w:hAnsi="Times New Roman" w:eastAsia="黑体"/>
          <w:sz w:val="32"/>
          <w:szCs w:val="32"/>
        </w:rPr>
        <w:t>三、实施原则</w:t>
      </w:r>
    </w:p>
    <w:p>
      <w:pPr>
        <w:widowControl w:val="0"/>
        <w:snapToGrid w:val="0"/>
        <w:spacing w:line="580" w:lineRule="exact"/>
        <w:ind w:firstLine="640" w:firstLineChars="200"/>
        <w:rPr>
          <w:rFonts w:hint="eastAsia" w:ascii="楷体_GB2312" w:hAnsi="Times New Roman" w:eastAsia="楷体_GB2312"/>
          <w:color w:val="000000"/>
          <w:sz w:val="32"/>
          <w:szCs w:val="32"/>
        </w:rPr>
      </w:pPr>
      <w:r>
        <w:rPr>
          <w:rFonts w:hint="eastAsia" w:ascii="楷体_GB2312" w:hAnsi="Times New Roman" w:eastAsia="楷体_GB2312"/>
          <w:color w:val="000000"/>
          <w:sz w:val="32"/>
          <w:szCs w:val="32"/>
        </w:rPr>
        <w:t>（一）统筹协调、强化引导</w:t>
      </w:r>
    </w:p>
    <w:p>
      <w:pPr>
        <w:widowControl w:val="0"/>
        <w:snapToGrid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sz w:val="32"/>
          <w:szCs w:val="32"/>
        </w:rPr>
        <w:t>聚焦</w:t>
      </w:r>
      <w:r>
        <w:rPr>
          <w:rFonts w:ascii="Times New Roman" w:hAnsi="Times New Roman" w:eastAsia="仿宋_GB2312"/>
          <w:color w:val="000000"/>
          <w:sz w:val="32"/>
          <w:szCs w:val="32"/>
        </w:rPr>
        <w:t>论文发表和数据汇交的双向有机互动，</w:t>
      </w:r>
      <w:r>
        <w:rPr>
          <w:rFonts w:ascii="Times New Roman" w:hAnsi="Times New Roman" w:eastAsia="仿宋_GB2312"/>
          <w:sz w:val="32"/>
          <w:szCs w:val="32"/>
        </w:rPr>
        <w:t>将论文关联数据汇交作为推动世界一流科技期刊建设和落实科学数据开放共享的重要抓手，指导</w:t>
      </w:r>
      <w:r>
        <w:rPr>
          <w:rFonts w:ascii="Times New Roman" w:hAnsi="Times New Roman" w:eastAsia="仿宋_GB2312"/>
          <w:color w:val="000000"/>
          <w:sz w:val="32"/>
          <w:szCs w:val="32"/>
        </w:rPr>
        <w:t>我国科技期刊完善论文发表中的数据汇交政策，</w:t>
      </w:r>
      <w:r>
        <w:rPr>
          <w:rFonts w:ascii="Times New Roman" w:hAnsi="Times New Roman" w:eastAsia="仿宋_GB2312"/>
          <w:sz w:val="32"/>
          <w:szCs w:val="32"/>
        </w:rPr>
        <w:t>建立论文关联数据汇交约束和激励机制，引导科研人员主动进行论文数据汇交。</w:t>
      </w:r>
    </w:p>
    <w:p>
      <w:pPr>
        <w:widowControl w:val="0"/>
        <w:snapToGrid w:val="0"/>
        <w:spacing w:line="580" w:lineRule="exact"/>
        <w:ind w:firstLine="640" w:firstLineChars="200"/>
        <w:rPr>
          <w:rFonts w:ascii="楷体_GB2312" w:hAnsi="Times New Roman" w:eastAsia="楷体_GB2312"/>
          <w:color w:val="000000"/>
          <w:sz w:val="32"/>
          <w:szCs w:val="32"/>
        </w:rPr>
      </w:pPr>
      <w:r>
        <w:rPr>
          <w:rFonts w:ascii="楷体_GB2312" w:hAnsi="Times New Roman" w:eastAsia="楷体_GB2312"/>
          <w:color w:val="000000"/>
          <w:sz w:val="32"/>
          <w:szCs w:val="32"/>
        </w:rPr>
        <w:t>（二）明确标准、优化生态</w:t>
      </w:r>
    </w:p>
    <w:p>
      <w:pPr>
        <w:widowControl w:val="0"/>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研制发布科学数据的采集处理、保存维护、共享服务、数据安全标准，明确论文关联科学数据生产、汇交、存储、共享各个环节主体责任，促进科学数据的可控开放和合规利用，营造科学数据开放共享的多元参与机制和价值共创生态。</w:t>
      </w:r>
    </w:p>
    <w:p>
      <w:pPr>
        <w:widowControl w:val="0"/>
        <w:snapToGrid w:val="0"/>
        <w:spacing w:line="580" w:lineRule="exact"/>
        <w:ind w:firstLine="640" w:firstLineChars="200"/>
        <w:rPr>
          <w:rFonts w:ascii="楷体_GB2312" w:hAnsi="Times New Roman" w:eastAsia="楷体_GB2312"/>
          <w:color w:val="000000"/>
          <w:sz w:val="32"/>
          <w:szCs w:val="32"/>
        </w:rPr>
      </w:pPr>
      <w:r>
        <w:rPr>
          <w:rFonts w:ascii="楷体_GB2312" w:hAnsi="Times New Roman" w:eastAsia="楷体_GB2312"/>
          <w:color w:val="000000"/>
          <w:sz w:val="32"/>
          <w:szCs w:val="32"/>
        </w:rPr>
        <w:t>（三）试点先行、分层推进</w:t>
      </w:r>
    </w:p>
    <w:p>
      <w:pPr>
        <w:widowControl w:val="0"/>
        <w:snapToGrid w:val="0"/>
        <w:spacing w:line="580" w:lineRule="exact"/>
        <w:ind w:firstLine="648" w:firstLineChars="200"/>
        <w:rPr>
          <w:rFonts w:ascii="Times New Roman" w:hAnsi="Times New Roman" w:eastAsia="仿宋_GB2312"/>
          <w:spacing w:val="2"/>
          <w:sz w:val="32"/>
          <w:szCs w:val="32"/>
        </w:rPr>
      </w:pPr>
      <w:r>
        <w:rPr>
          <w:rFonts w:ascii="Times New Roman" w:hAnsi="Times New Roman" w:eastAsia="仿宋_GB2312"/>
          <w:color w:val="000000"/>
          <w:spacing w:val="2"/>
          <w:sz w:val="32"/>
          <w:szCs w:val="32"/>
        </w:rPr>
        <w:t>以中国科技期刊卓越行动计划入选期刊为先期试点，为完善论文</w:t>
      </w:r>
      <w:r>
        <w:rPr>
          <w:rFonts w:ascii="Times New Roman" w:hAnsi="Times New Roman" w:eastAsia="仿宋_GB2312"/>
          <w:color w:val="000000"/>
          <w:sz w:val="32"/>
          <w:szCs w:val="32"/>
        </w:rPr>
        <w:t>关联数据汇交机制提供有益经验，</w:t>
      </w:r>
      <w:r>
        <w:rPr>
          <w:rFonts w:ascii="Times New Roman" w:hAnsi="Times New Roman" w:eastAsia="仿宋_GB2312"/>
          <w:color w:val="000000"/>
          <w:spacing w:val="2"/>
          <w:sz w:val="32"/>
          <w:szCs w:val="32"/>
        </w:rPr>
        <w:t>分批分步推进不同层级不同领域科技期刊结合实际制定汇交政策，不断完善汇交机制和工作流程，提升数据汇交规模和质量</w:t>
      </w:r>
      <w:r>
        <w:rPr>
          <w:rFonts w:ascii="Times New Roman" w:hAnsi="Times New Roman" w:eastAsia="仿宋_GB2312"/>
          <w:spacing w:val="2"/>
          <w:sz w:val="32"/>
          <w:szCs w:val="32"/>
        </w:rPr>
        <w:t>。</w:t>
      </w:r>
    </w:p>
    <w:p>
      <w:pPr>
        <w:widowControl w:val="0"/>
        <w:snapToGrid w:val="0"/>
        <w:spacing w:line="580" w:lineRule="exact"/>
        <w:ind w:firstLine="640"/>
        <w:rPr>
          <w:rFonts w:ascii="Times New Roman" w:hAnsi="Times New Roman" w:eastAsia="黑体"/>
          <w:sz w:val="32"/>
          <w:szCs w:val="32"/>
        </w:rPr>
      </w:pPr>
      <w:r>
        <w:rPr>
          <w:rFonts w:ascii="Times New Roman" w:hAnsi="Times New Roman" w:eastAsia="黑体"/>
          <w:sz w:val="32"/>
          <w:szCs w:val="32"/>
        </w:rPr>
        <w:t>四、汇交范围</w:t>
      </w:r>
    </w:p>
    <w:p>
      <w:pPr>
        <w:widowControl w:val="0"/>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作者投稿国内科技期刊的学术论文所涉及研究过程中形成的非敏感、非涉密原始数据及其衍生数据，其本身用于形成论文图表、支撑论文研究结论，但不适用于作为学术论文一部分予以发表。汇交数据应不违反科研伦理，其开放共享不得损害第三方合法权益，包括但不限于以下类型：</w:t>
      </w:r>
    </w:p>
    <w:p>
      <w:pPr>
        <w:widowControl w:val="0"/>
        <w:snapToGrid w:val="0"/>
        <w:spacing w:line="580" w:lineRule="exact"/>
        <w:ind w:firstLine="640" w:firstLineChars="200"/>
        <w:rPr>
          <w:rFonts w:ascii="楷体_GB2312" w:hAnsi="Times New Roman" w:eastAsia="楷体_GB2312"/>
          <w:color w:val="000000"/>
          <w:sz w:val="32"/>
          <w:szCs w:val="32"/>
        </w:rPr>
      </w:pPr>
      <w:r>
        <w:rPr>
          <w:rFonts w:ascii="楷体_GB2312" w:hAnsi="Times New Roman" w:eastAsia="楷体_GB2312"/>
          <w:color w:val="000000"/>
          <w:sz w:val="32"/>
          <w:szCs w:val="32"/>
        </w:rPr>
        <w:t>（一）数据实体</w:t>
      </w:r>
    </w:p>
    <w:p>
      <w:pPr>
        <w:widowControl w:val="0"/>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通过基础研究、应用研究、试验开发等科学活动，以及通过观测监测、考察调查、检验检测等方式取得并可用于科学研究活动的原始数据，以及经过处理加工、研究分析得到的各级各类衍生数据。</w:t>
      </w:r>
    </w:p>
    <w:p>
      <w:pPr>
        <w:widowControl w:val="0"/>
        <w:snapToGrid w:val="0"/>
        <w:spacing w:line="580" w:lineRule="exact"/>
        <w:ind w:firstLine="640" w:firstLineChars="200"/>
        <w:rPr>
          <w:rFonts w:ascii="楷体_GB2312" w:hAnsi="Times New Roman" w:eastAsia="楷体_GB2312"/>
          <w:color w:val="000000"/>
          <w:sz w:val="32"/>
          <w:szCs w:val="32"/>
        </w:rPr>
      </w:pPr>
      <w:r>
        <w:rPr>
          <w:rFonts w:ascii="楷体_GB2312" w:hAnsi="Times New Roman" w:eastAsia="楷体_GB2312"/>
          <w:color w:val="000000"/>
          <w:sz w:val="32"/>
          <w:szCs w:val="32"/>
        </w:rPr>
        <w:t>（二）数据描述信息</w:t>
      </w:r>
    </w:p>
    <w:p>
      <w:pPr>
        <w:widowControl w:val="0"/>
        <w:snapToGrid w:val="0"/>
        <w:spacing w:line="580" w:lineRule="exact"/>
        <w:ind w:firstLine="648" w:firstLineChars="200"/>
        <w:rPr>
          <w:rFonts w:ascii="Times New Roman" w:hAnsi="Times New Roman" w:eastAsia="仿宋_GB2312"/>
          <w:spacing w:val="2"/>
          <w:sz w:val="32"/>
          <w:szCs w:val="32"/>
        </w:rPr>
      </w:pPr>
      <w:r>
        <w:rPr>
          <w:rFonts w:ascii="Times New Roman" w:hAnsi="Times New Roman" w:eastAsia="仿宋_GB2312"/>
          <w:spacing w:val="2"/>
          <w:sz w:val="32"/>
          <w:szCs w:val="32"/>
        </w:rPr>
        <w:t>用于描述科学数据来源、分析处理过程、对象内容、分级定义、格式说明、质量控制情况和质量审核结果等方面的配套信息，以元数据、质量说明文档、程序代码、实验视频等为载体进行记录。</w:t>
      </w:r>
    </w:p>
    <w:p>
      <w:pPr>
        <w:widowControl w:val="0"/>
        <w:snapToGrid w:val="0"/>
        <w:spacing w:line="580" w:lineRule="exact"/>
        <w:ind w:firstLine="640" w:firstLineChars="200"/>
        <w:rPr>
          <w:rFonts w:ascii="楷体_GB2312" w:hAnsi="Times New Roman" w:eastAsia="楷体_GB2312"/>
          <w:color w:val="000000"/>
          <w:sz w:val="32"/>
          <w:szCs w:val="32"/>
        </w:rPr>
      </w:pPr>
      <w:r>
        <w:rPr>
          <w:rFonts w:ascii="楷体_GB2312" w:hAnsi="Times New Roman" w:eastAsia="楷体_GB2312"/>
          <w:color w:val="000000"/>
          <w:sz w:val="32"/>
          <w:szCs w:val="32"/>
        </w:rPr>
        <w:t>（三）数据附属产品</w:t>
      </w:r>
    </w:p>
    <w:p>
      <w:pPr>
        <w:widowControl w:val="0"/>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在科学研究和实验测试所得到科学数据的基础上，通过进一步理论推导和分析加工形成的晶体结构、分子式、基因序列、工艺流程、数学模型等附属产品。</w:t>
      </w:r>
    </w:p>
    <w:p>
      <w:pPr>
        <w:widowControl w:val="0"/>
        <w:snapToGrid w:val="0"/>
        <w:spacing w:line="580" w:lineRule="exact"/>
        <w:ind w:firstLine="640"/>
        <w:rPr>
          <w:rFonts w:ascii="Times New Roman" w:hAnsi="Times New Roman" w:eastAsia="黑体"/>
          <w:sz w:val="32"/>
          <w:szCs w:val="32"/>
        </w:rPr>
      </w:pPr>
      <w:r>
        <w:rPr>
          <w:rFonts w:ascii="Times New Roman" w:hAnsi="Times New Roman" w:eastAsia="黑体"/>
          <w:sz w:val="32"/>
          <w:szCs w:val="32"/>
        </w:rPr>
        <w:t>五、汇交平台</w:t>
      </w:r>
    </w:p>
    <w:p>
      <w:pPr>
        <w:widowControl w:val="0"/>
        <w:snapToGrid w:val="0"/>
        <w:spacing w:line="560" w:lineRule="exact"/>
        <w:ind w:firstLine="616" w:firstLineChars="200"/>
        <w:rPr>
          <w:rFonts w:ascii="Times New Roman" w:hAnsi="Times New Roman" w:eastAsia="仿宋_GB2312"/>
          <w:spacing w:val="-6"/>
          <w:sz w:val="32"/>
          <w:szCs w:val="32"/>
        </w:rPr>
      </w:pPr>
      <w:r>
        <w:rPr>
          <w:rFonts w:ascii="Times New Roman" w:hAnsi="Times New Roman" w:eastAsia="仿宋_GB2312"/>
          <w:spacing w:val="-6"/>
          <w:sz w:val="32"/>
          <w:szCs w:val="32"/>
        </w:rPr>
        <w:t>通过“科创中国”科学数据仓储及应用服务平台（地址：https://cast.scidb.cn/，</w:t>
      </w:r>
      <w:r>
        <w:rPr>
          <w:rFonts w:hint="eastAsia" w:ascii="仿宋_GB2312" w:hAnsi="Times New Roman" w:eastAsia="仿宋_GB2312"/>
          <w:spacing w:val="-6"/>
          <w:sz w:val="32"/>
          <w:szCs w:val="32"/>
        </w:rPr>
        <w:t>以下简称“服务平台”），提供论文关联数据的在线提交、数据评审和开放共享服务。“服务平台”依托中国科</w:t>
      </w:r>
      <w:r>
        <w:rPr>
          <w:rFonts w:ascii="Times New Roman" w:hAnsi="Times New Roman" w:eastAsia="仿宋_GB2312"/>
          <w:spacing w:val="-6"/>
          <w:sz w:val="32"/>
          <w:szCs w:val="32"/>
        </w:rPr>
        <w:t>学院与中国科协共同支持指导的科学数据银行（ScienceDB）数据库建设，共享用户注册和数据访问权限。科学数据银行已被Springer Nature、American Geophysical Union、Cell Press、Elsevier、Wiley和Taylor &amp; Francis Group等推荐为论文关联数据汇交存储和共享平台，收录的数据可在Data Citation Index、Google Dataset Search等国际著名平台搜索查询及引用追踪。</w:t>
      </w:r>
    </w:p>
    <w:p>
      <w:pPr>
        <w:widowControl w:val="0"/>
        <w:snapToGrid w:val="0"/>
        <w:spacing w:line="580" w:lineRule="exact"/>
        <w:ind w:firstLine="640" w:firstLineChars="200"/>
        <w:rPr>
          <w:rFonts w:ascii="Times New Roman" w:hAnsi="Times New Roman" w:eastAsia="黑体"/>
          <w:sz w:val="32"/>
          <w:szCs w:val="32"/>
        </w:rPr>
      </w:pPr>
      <w:r>
        <w:rPr>
          <w:rFonts w:ascii="Times New Roman" w:hAnsi="Times New Roman" w:eastAsia="黑体"/>
          <w:sz w:val="32"/>
          <w:szCs w:val="32"/>
        </w:rPr>
        <w:t>六、权责义务</w:t>
      </w:r>
    </w:p>
    <w:p>
      <w:pPr>
        <w:widowControl w:val="0"/>
        <w:snapToGrid w:val="0"/>
        <w:spacing w:line="580" w:lineRule="exact"/>
        <w:ind w:firstLine="616" w:firstLineChars="200"/>
        <w:rPr>
          <w:rFonts w:ascii="Times New Roman" w:hAnsi="Times New Roman" w:eastAsia="仿宋_GB2312"/>
          <w:spacing w:val="-6"/>
          <w:sz w:val="32"/>
          <w:szCs w:val="32"/>
        </w:rPr>
      </w:pPr>
      <w:r>
        <w:rPr>
          <w:rFonts w:ascii="Times New Roman" w:hAnsi="Times New Roman" w:eastAsia="仿宋_GB2312"/>
          <w:spacing w:val="-6"/>
          <w:sz w:val="32"/>
          <w:szCs w:val="32"/>
        </w:rPr>
        <w:t>期刊论文关联数据汇交工作涉及多方主体的权利义务，各方应协同一致，共同推进。中国科协和中国科学院负责组织、引导主管期刊开展论文关联数据汇交工作。中国科学院计算机网络信息中心负责</w:t>
      </w:r>
      <w:r>
        <w:rPr>
          <w:rFonts w:ascii="Times New Roman" w:hAnsi="Times New Roman" w:eastAsia="仿宋_GB2312"/>
          <w:sz w:val="32"/>
          <w:szCs w:val="32"/>
        </w:rPr>
        <w:t>平台支撑与技术保障</w:t>
      </w:r>
      <w:r>
        <w:rPr>
          <w:rFonts w:ascii="Times New Roman" w:hAnsi="Times New Roman" w:eastAsia="仿宋_GB2312"/>
          <w:spacing w:val="-6"/>
          <w:sz w:val="32"/>
          <w:szCs w:val="32"/>
        </w:rPr>
        <w:t>，整体管理和监测所有上传数据</w:t>
      </w:r>
      <w:r>
        <w:rPr>
          <w:rFonts w:ascii="Times New Roman" w:hAnsi="Times New Roman" w:eastAsia="仿宋_GB2312"/>
          <w:sz w:val="32"/>
          <w:szCs w:val="32"/>
        </w:rPr>
        <w:t>，确保数据安全与长期存储</w:t>
      </w:r>
      <w:r>
        <w:rPr>
          <w:rFonts w:ascii="Times New Roman" w:hAnsi="Times New Roman" w:eastAsia="仿宋_GB2312"/>
          <w:spacing w:val="-6"/>
          <w:sz w:val="32"/>
          <w:szCs w:val="32"/>
        </w:rPr>
        <w:t>。</w:t>
      </w:r>
      <w:r>
        <w:rPr>
          <w:rFonts w:hint="eastAsia" w:ascii="Times New Roman" w:hAnsi="Times New Roman" w:eastAsia="仿宋_GB2312"/>
          <w:sz w:val="32"/>
          <w:szCs w:val="32"/>
        </w:rPr>
        <w:t>期刊主办组织所属期刊出版单位积极参与数据汇交工作。</w:t>
      </w:r>
      <w:r>
        <w:rPr>
          <w:rFonts w:ascii="Times New Roman" w:hAnsi="Times New Roman" w:eastAsia="仿宋_GB2312"/>
          <w:spacing w:val="-6"/>
          <w:sz w:val="32"/>
          <w:szCs w:val="32"/>
        </w:rPr>
        <w:t>期刊出版单位是本刊论文关联数据汇交工作的具体</w:t>
      </w:r>
      <w:r>
        <w:rPr>
          <w:rFonts w:hint="eastAsia" w:ascii="Times New Roman" w:hAnsi="Times New Roman" w:eastAsia="仿宋_GB2312"/>
          <w:spacing w:val="-6"/>
          <w:sz w:val="32"/>
          <w:szCs w:val="32"/>
        </w:rPr>
        <w:t>实施</w:t>
      </w:r>
      <w:r>
        <w:rPr>
          <w:rFonts w:ascii="Times New Roman" w:hAnsi="Times New Roman" w:eastAsia="仿宋_GB2312"/>
          <w:spacing w:val="-6"/>
          <w:sz w:val="32"/>
          <w:szCs w:val="32"/>
        </w:rPr>
        <w:t>者，须制定发布本刊的数据汇交政策，向作者、读者宣传论文数据汇交的重要意义和服务平台使用方法，鼓励引导作者汇交数据，</w:t>
      </w:r>
      <w:r>
        <w:rPr>
          <w:rFonts w:ascii="Times New Roman" w:hAnsi="Times New Roman" w:eastAsia="仿宋_GB2312"/>
          <w:sz w:val="32"/>
          <w:szCs w:val="32"/>
        </w:rPr>
        <w:t>探索将关联数据审查纳入同行评议范畴</w:t>
      </w:r>
      <w:r>
        <w:rPr>
          <w:rFonts w:ascii="Times New Roman" w:hAnsi="Times New Roman" w:eastAsia="仿宋_GB2312"/>
          <w:spacing w:val="-6"/>
          <w:sz w:val="32"/>
          <w:szCs w:val="32"/>
        </w:rPr>
        <w:t>，管理和监测服务平台上本刊作者汇交的数据。</w:t>
      </w:r>
      <w:r>
        <w:rPr>
          <w:rFonts w:ascii="Times New Roman" w:hAnsi="Times New Roman" w:eastAsia="仿宋_GB2312"/>
          <w:sz w:val="32"/>
          <w:szCs w:val="32"/>
        </w:rPr>
        <w:t>作者应充分意识到数据汇交和共享的重要意义，依照期刊论文关联数据政策规定，主动、及时汇交论文关联数据。</w:t>
      </w:r>
      <w:r>
        <w:rPr>
          <w:rFonts w:ascii="Times New Roman" w:hAnsi="Times New Roman" w:eastAsia="仿宋_GB2312"/>
          <w:spacing w:val="-6"/>
          <w:sz w:val="32"/>
          <w:szCs w:val="32"/>
        </w:rPr>
        <w:t>读者有阅读、下载和使用服务平台所有公开的数据的权利，使用时须遵守数据许可协议，按照学术规范正确引用数据。</w:t>
      </w:r>
    </w:p>
    <w:p>
      <w:pPr>
        <w:widowControl w:val="0"/>
        <w:snapToGrid w:val="0"/>
        <w:spacing w:line="580" w:lineRule="exact"/>
        <w:ind w:firstLine="616" w:firstLineChars="200"/>
        <w:rPr>
          <w:rFonts w:ascii="Times New Roman" w:hAnsi="Times New Roman" w:eastAsia="仿宋_GB2312"/>
          <w:spacing w:val="-6"/>
          <w:sz w:val="32"/>
          <w:szCs w:val="32"/>
        </w:rPr>
      </w:pPr>
      <w:r>
        <w:rPr>
          <w:rFonts w:ascii="Times New Roman" w:hAnsi="Times New Roman" w:eastAsia="仿宋_GB2312"/>
          <w:spacing w:val="-6"/>
          <w:sz w:val="32"/>
          <w:szCs w:val="32"/>
        </w:rPr>
        <w:t>论文作者汇交数据的知识产权归属和开放共享程度由期刊与作者确认的论文关联数据存缴共享政策所约定。</w:t>
      </w:r>
    </w:p>
    <w:p>
      <w:pPr>
        <w:widowControl w:val="0"/>
        <w:snapToGrid w:val="0"/>
        <w:spacing w:line="580" w:lineRule="exact"/>
        <w:ind w:firstLine="640" w:firstLineChars="200"/>
        <w:rPr>
          <w:rFonts w:ascii="Times New Roman" w:hAnsi="Times New Roman" w:eastAsia="黑体"/>
          <w:sz w:val="32"/>
          <w:szCs w:val="32"/>
        </w:rPr>
      </w:pPr>
      <w:r>
        <w:rPr>
          <w:rFonts w:ascii="Times New Roman" w:hAnsi="Times New Roman" w:eastAsia="黑体"/>
          <w:sz w:val="32"/>
          <w:szCs w:val="32"/>
        </w:rPr>
        <w:t>七、保障措施</w:t>
      </w:r>
    </w:p>
    <w:p>
      <w:pPr>
        <w:widowControl w:val="0"/>
        <w:snapToGrid w:val="0"/>
        <w:spacing w:line="580" w:lineRule="exact"/>
        <w:ind w:left="640"/>
        <w:rPr>
          <w:rFonts w:ascii="Times New Roman" w:hAnsi="Times New Roman" w:eastAsia="楷体_GB2312"/>
          <w:sz w:val="32"/>
          <w:szCs w:val="32"/>
        </w:rPr>
      </w:pPr>
      <w:r>
        <w:rPr>
          <w:rFonts w:ascii="Times New Roman" w:hAnsi="Times New Roman" w:eastAsia="楷体_GB2312"/>
          <w:sz w:val="32"/>
          <w:szCs w:val="32"/>
        </w:rPr>
        <w:t>（一）强化协同</w:t>
      </w:r>
    </w:p>
    <w:p>
      <w:pPr>
        <w:widowControl w:val="0"/>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中国科协、中国科学院共同建立考核机制，将主管期刊论文关联数据政策制定、数据汇交规模、作者知悉和数据下载情况等指标作为期刊年度核验、社会效益评价、表彰奖励以及项目支持的重要参考。</w:t>
      </w:r>
    </w:p>
    <w:p>
      <w:pPr>
        <w:widowControl w:val="0"/>
        <w:snapToGrid w:val="0"/>
        <w:spacing w:line="580" w:lineRule="exact"/>
        <w:ind w:left="640"/>
        <w:rPr>
          <w:rFonts w:ascii="Times New Roman" w:hAnsi="Times New Roman" w:eastAsia="楷体_GB2312"/>
          <w:sz w:val="32"/>
          <w:szCs w:val="32"/>
        </w:rPr>
      </w:pPr>
      <w:r>
        <w:rPr>
          <w:rFonts w:ascii="Times New Roman" w:hAnsi="Times New Roman" w:eastAsia="楷体_GB2312"/>
          <w:sz w:val="32"/>
          <w:szCs w:val="32"/>
        </w:rPr>
        <w:t>（二）压实责任</w:t>
      </w:r>
    </w:p>
    <w:p>
      <w:pPr>
        <w:widowControl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期刊主办组织所属期刊出版单位积极参与数据汇交工作。</w:t>
      </w:r>
      <w:r>
        <w:rPr>
          <w:rFonts w:ascii="Times New Roman" w:hAnsi="Times New Roman" w:eastAsia="仿宋_GB2312"/>
          <w:sz w:val="32"/>
          <w:szCs w:val="32"/>
        </w:rPr>
        <w:t>期刊出版单位是论文关联数据汇交的实施主体，要制定本刊数据汇交政策，并在期刊官网上正式发布，引导论文作者积极提交数据，确保刊载论文的关联数据在服务平台中存储及发布，并逐步将关联数据纳入论文审稿流程，提升科学研究的透明度和可重复性。</w:t>
      </w:r>
    </w:p>
    <w:p>
      <w:pPr>
        <w:widowControl w:val="0"/>
        <w:snapToGrid w:val="0"/>
        <w:spacing w:line="580" w:lineRule="exact"/>
        <w:ind w:left="640"/>
        <w:rPr>
          <w:rFonts w:ascii="Times New Roman" w:hAnsi="Times New Roman" w:eastAsia="楷体_GB2312"/>
          <w:sz w:val="32"/>
          <w:szCs w:val="32"/>
        </w:rPr>
      </w:pPr>
      <w:r>
        <w:rPr>
          <w:rFonts w:ascii="Times New Roman" w:hAnsi="Times New Roman" w:eastAsia="楷体_GB2312"/>
          <w:sz w:val="32"/>
          <w:szCs w:val="32"/>
        </w:rPr>
        <w:t>（三）加强培训</w:t>
      </w:r>
    </w:p>
    <w:p>
      <w:pPr>
        <w:widowControl w:val="0"/>
        <w:snapToGrid w:val="0"/>
        <w:spacing w:line="580" w:lineRule="exact"/>
        <w:ind w:firstLine="640" w:firstLineChars="200"/>
        <w:rPr>
          <w:rFonts w:ascii="Times New Roman" w:hAnsi="Times New Roman"/>
        </w:rPr>
      </w:pPr>
      <w:r>
        <w:rPr>
          <w:rFonts w:ascii="Times New Roman" w:hAnsi="Times New Roman" w:eastAsia="仿宋_GB2312"/>
          <w:sz w:val="32"/>
          <w:szCs w:val="32"/>
        </w:rPr>
        <w:t>中国科协将联合中国科学院组织期刊出版单位开展论文关联数据汇交工作专题培训，就数据政策制定以及汇交平台使用进行具体指导，对后续实施工作提供跟踪服务。期刊出版单位指定一名负责同志作为论文关联数据汇交工作联系人参与业务培训。中国科协和中国科学院及其主管期刊将逐步开展针对科研人员、科研管理人员等关于数据汇交重要性、安全性及服务平台使用具体方法的相关培训。</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仿宋_GB2312">
    <w:altName w:val="方正仿宋_GBK"/>
    <w:panose1 w:val="02010609030101010101"/>
    <w:charset w:val="00"/>
    <w:family w:val="modern"/>
    <w:pitch w:val="default"/>
    <w:sig w:usb0="00000000" w:usb1="00000000" w:usb2="00000010" w:usb3="00000000" w:csb0="00040000" w:csb1="00000000"/>
  </w:font>
  <w:font w:name="小标宋">
    <w:altName w:val="苹方-简"/>
    <w:panose1 w:val="03000509000000000000"/>
    <w:charset w:val="00"/>
    <w:family w:val="script"/>
    <w:pitch w:val="default"/>
    <w:sig w:usb0="00000000" w:usb1="00000000" w:usb2="00000010" w:usb3="00000000" w:csb0="00040000" w:csb1="00000000"/>
  </w:font>
  <w:font w:name="黑体">
    <w:altName w:val="汉仪中黑KW"/>
    <w:panose1 w:val="02010609060101010101"/>
    <w:charset w:val="00"/>
    <w:family w:val="modern"/>
    <w:pitch w:val="default"/>
    <w:sig w:usb0="00000000" w:usb1="00000000" w:usb2="00000016" w:usb3="00000000" w:csb0="00040001" w:csb1="00000000"/>
  </w:font>
  <w:font w:name="Garamond">
    <w:altName w:val="苹方-简"/>
    <w:panose1 w:val="02020404030301010803"/>
    <w:charset w:val="00"/>
    <w:family w:val="roman"/>
    <w:pitch w:val="default"/>
    <w:sig w:usb0="00000000" w:usb1="00000000" w:usb2="00000000" w:usb3="00000000" w:csb0="0000009F" w:csb1="00000000"/>
  </w:font>
  <w:font w:name="楷体_GB2312">
    <w:altName w:val="汉仪楷体简"/>
    <w:panose1 w:val="02010609030101010101"/>
    <w:charset w:val="00"/>
    <w:family w:val="modern"/>
    <w:pitch w:val="default"/>
    <w:sig w:usb0="00000000" w:usb1="00000000" w:usb2="0000001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F6EF467"/>
    <w:rsid w:val="9F6EF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sz w:val="28"/>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Office_3.0.0.4824_F1E327BC-269C-435d-A152-05C5408002CA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2022-11-23T15:08:00Z</dcterms:created>
  <dc:creator>macos</dc:creator>
  <cp:lastModifiedBy>macos</cp:lastModifiedBy>
  <dcterms:modified xsi:type="dcterms:W3CDTF">2022-11-23T15:09:32Z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2052-3.0.0.4824</vt:lpwstr>
  </property>
</Properties>
</file>